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887978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APF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 xml:space="preserve">ence in </w:t>
      </w:r>
      <w:r>
        <w:rPr>
          <w:rFonts w:ascii="Arial" w:hAnsi="Arial" w:cs="Arial"/>
          <w:b/>
          <w:sz w:val="20"/>
          <w:szCs w:val="20"/>
        </w:rPr>
        <w:t xml:space="preserve">accumulated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Q.IV/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2019 </w:t>
      </w:r>
      <w:r>
        <w:rPr>
          <w:rFonts w:ascii="Arial" w:hAnsi="Arial" w:cs="Arial"/>
          <w:b/>
          <w:sz w:val="20"/>
          <w:szCs w:val="20"/>
        </w:rPr>
        <w:t>and audited financial statement of 2019</w:t>
      </w:r>
    </w:p>
    <w:p w:rsidR="00125C9D" w:rsidRDefault="00E36A48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87978">
        <w:rPr>
          <w:rFonts w:ascii="Arial" w:hAnsi="Arial" w:cs="Arial"/>
          <w:sz w:val="20"/>
          <w:szCs w:val="20"/>
        </w:rPr>
        <w:t>23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7978" w:rsidRPr="00887978">
        <w:rPr>
          <w:rFonts w:ascii="Arial" w:hAnsi="Arial" w:cs="Arial"/>
          <w:sz w:val="20"/>
          <w:szCs w:val="20"/>
        </w:rPr>
        <w:t>Quang</w:t>
      </w:r>
      <w:proofErr w:type="spellEnd"/>
      <w:r w:rsidR="00887978" w:rsidRPr="008879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7978" w:rsidRPr="00887978">
        <w:rPr>
          <w:rFonts w:ascii="Arial" w:hAnsi="Arial" w:cs="Arial"/>
          <w:sz w:val="20"/>
          <w:szCs w:val="20"/>
        </w:rPr>
        <w:t>Ngai</w:t>
      </w:r>
      <w:proofErr w:type="spellEnd"/>
      <w:r w:rsidR="00887978" w:rsidRPr="00887978">
        <w:rPr>
          <w:rFonts w:ascii="Arial" w:hAnsi="Arial" w:cs="Arial"/>
          <w:sz w:val="20"/>
          <w:szCs w:val="20"/>
        </w:rPr>
        <w:t xml:space="preserve"> Agricultural Products And Foodstuff Joint Stock Company</w:t>
      </w:r>
      <w:r w:rsidR="00887978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 xml:space="preserve">in </w:t>
      </w:r>
      <w:r w:rsidR="00887978">
        <w:rPr>
          <w:rFonts w:ascii="Arial" w:hAnsi="Arial" w:cs="Arial"/>
          <w:sz w:val="20"/>
          <w:szCs w:val="20"/>
        </w:rPr>
        <w:t xml:space="preserve">accumulated </w:t>
      </w:r>
      <w:r w:rsidR="00887978" w:rsidRPr="00887978">
        <w:rPr>
          <w:rFonts w:ascii="Arial" w:hAnsi="Arial" w:cs="Arial"/>
          <w:sz w:val="20"/>
          <w:szCs w:val="20"/>
        </w:rPr>
        <w:t>financial statement of Q.IV/ 2019 and audited financial statement of 2019</w:t>
      </w:r>
      <w:r w:rsidR="00887978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0"/>
        <w:gridCol w:w="392"/>
        <w:gridCol w:w="958"/>
        <w:gridCol w:w="649"/>
        <w:gridCol w:w="971"/>
        <w:gridCol w:w="636"/>
        <w:gridCol w:w="4062"/>
      </w:tblGrid>
      <w:tr w:rsidR="00887978" w:rsidTr="0007205A">
        <w:tc>
          <w:tcPr>
            <w:tcW w:w="2300" w:type="dxa"/>
            <w:gridSpan w:val="3"/>
          </w:tcPr>
          <w:p w:rsidR="00887978" w:rsidRDefault="00887978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607" w:type="dxa"/>
            <w:gridSpan w:val="2"/>
          </w:tcPr>
          <w:p w:rsidR="00887978" w:rsidRDefault="00887978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Accumulated financial statement of Q.IV/ 2019</w:t>
            </w:r>
          </w:p>
        </w:tc>
        <w:tc>
          <w:tcPr>
            <w:tcW w:w="1607" w:type="dxa"/>
            <w:gridSpan w:val="2"/>
          </w:tcPr>
          <w:p w:rsidR="00887978" w:rsidRDefault="00887978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Audited financial statement of 2019</w:t>
            </w:r>
          </w:p>
        </w:tc>
        <w:tc>
          <w:tcPr>
            <w:tcW w:w="4062" w:type="dxa"/>
          </w:tcPr>
          <w:p w:rsidR="00887978" w:rsidRDefault="00887978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887978" w:rsidTr="003906C5">
        <w:tc>
          <w:tcPr>
            <w:tcW w:w="9576" w:type="dxa"/>
            <w:gridSpan w:val="8"/>
          </w:tcPr>
          <w:p w:rsidR="00887978" w:rsidRDefault="00887978" w:rsidP="008879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Figures</w:t>
            </w:r>
            <w:r w:rsidR="009C5101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n separate financial statement </w:t>
            </w:r>
          </w:p>
        </w:tc>
      </w:tr>
      <w:tr w:rsidR="00887978" w:rsidTr="0007205A">
        <w:tc>
          <w:tcPr>
            <w:tcW w:w="1908" w:type="dxa"/>
            <w:gridSpan w:val="2"/>
          </w:tcPr>
          <w:p w:rsidR="00887978" w:rsidRDefault="00887978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income</w:t>
            </w:r>
          </w:p>
        </w:tc>
        <w:tc>
          <w:tcPr>
            <w:tcW w:w="1999" w:type="dxa"/>
            <w:gridSpan w:val="3"/>
          </w:tcPr>
          <w:p w:rsidR="00887978" w:rsidRDefault="00887978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>11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592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235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1607" w:type="dxa"/>
            <w:gridSpan w:val="2"/>
          </w:tcPr>
          <w:p w:rsidR="00887978" w:rsidRDefault="00887978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>16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882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157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4062" w:type="dxa"/>
          </w:tcPr>
          <w:p w:rsidR="00887978" w:rsidRDefault="00887978" w:rsidP="00E1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>Increasing</w:t>
            </w:r>
            <w:r w:rsidR="00E103D4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46% mainly due to the calculation of deferred interest </w:t>
            </w:r>
            <w:r w:rsidR="00E103D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887978">
              <w:rPr>
                <w:rFonts w:ascii="Arial" w:hAnsi="Arial" w:cs="Arial"/>
                <w:sz w:val="20"/>
                <w:szCs w:val="20"/>
              </w:rPr>
              <w:t>subsidiaries: VND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978">
              <w:rPr>
                <w:rFonts w:ascii="Arial" w:hAnsi="Arial" w:cs="Arial"/>
                <w:sz w:val="20"/>
                <w:szCs w:val="20"/>
              </w:rPr>
              <w:t>5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256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858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887978" w:rsidTr="0007205A">
        <w:tc>
          <w:tcPr>
            <w:tcW w:w="1908" w:type="dxa"/>
            <w:gridSpan w:val="2"/>
          </w:tcPr>
          <w:p w:rsidR="00887978" w:rsidRDefault="00887978" w:rsidP="008879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 xml:space="preserve">Administrative expenses </w:t>
            </w:r>
          </w:p>
        </w:tc>
        <w:tc>
          <w:tcPr>
            <w:tcW w:w="1999" w:type="dxa"/>
            <w:gridSpan w:val="3"/>
          </w:tcPr>
          <w:p w:rsidR="00887978" w:rsidRDefault="00887978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>9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583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128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1607" w:type="dxa"/>
            <w:gridSpan w:val="2"/>
          </w:tcPr>
          <w:p w:rsidR="00887978" w:rsidRDefault="00887978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>14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607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337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4062" w:type="dxa"/>
          </w:tcPr>
          <w:p w:rsidR="00887978" w:rsidRDefault="00E103D4" w:rsidP="00E1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increase of 52%</w:t>
            </w:r>
            <w:r w:rsidR="00887978" w:rsidRPr="00887978">
              <w:rPr>
                <w:rFonts w:ascii="Arial" w:hAnsi="Arial" w:cs="Arial"/>
                <w:sz w:val="20"/>
                <w:szCs w:val="20"/>
              </w:rPr>
              <w:t xml:space="preserve"> mainly due to the additional deduction of the </w:t>
            </w:r>
            <w:r>
              <w:rPr>
                <w:rFonts w:ascii="Arial" w:hAnsi="Arial" w:cs="Arial"/>
                <w:sz w:val="20"/>
                <w:szCs w:val="20"/>
              </w:rPr>
              <w:t>salary</w:t>
            </w:r>
            <w:r w:rsidR="00887978" w:rsidRPr="00887978">
              <w:rPr>
                <w:rFonts w:ascii="Arial" w:hAnsi="Arial" w:cs="Arial"/>
                <w:sz w:val="20"/>
                <w:szCs w:val="20"/>
              </w:rPr>
              <w:t xml:space="preserve"> in 2019: </w:t>
            </w:r>
            <w:r w:rsidR="00887978">
              <w:rPr>
                <w:rFonts w:ascii="Arial" w:hAnsi="Arial" w:cs="Arial"/>
                <w:sz w:val="20"/>
                <w:szCs w:val="20"/>
              </w:rPr>
              <w:t xml:space="preserve">VND </w:t>
            </w:r>
            <w:r w:rsidR="00887978" w:rsidRPr="0088797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87978" w:rsidRPr="00887978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87978" w:rsidRPr="00887978">
              <w:rPr>
                <w:rFonts w:ascii="Arial" w:hAnsi="Arial" w:cs="Arial"/>
                <w:sz w:val="20"/>
                <w:szCs w:val="20"/>
              </w:rPr>
              <w:t>473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87978" w:rsidRPr="00887978">
              <w:rPr>
                <w:rFonts w:ascii="Arial" w:hAnsi="Arial" w:cs="Arial"/>
                <w:sz w:val="20"/>
                <w:szCs w:val="20"/>
              </w:rPr>
              <w:t xml:space="preserve">534 </w:t>
            </w:r>
          </w:p>
        </w:tc>
      </w:tr>
      <w:tr w:rsidR="00887978" w:rsidTr="00476A18">
        <w:tc>
          <w:tcPr>
            <w:tcW w:w="9576" w:type="dxa"/>
            <w:gridSpan w:val="8"/>
          </w:tcPr>
          <w:p w:rsidR="00887978" w:rsidRDefault="00887978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Figures in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the c</w:t>
            </w:r>
            <w:r>
              <w:rPr>
                <w:rFonts w:ascii="Arial" w:hAnsi="Arial" w:cs="Arial"/>
                <w:sz w:val="20"/>
                <w:szCs w:val="20"/>
              </w:rPr>
              <w:t>onsolidated financial statement</w:t>
            </w:r>
          </w:p>
        </w:tc>
      </w:tr>
      <w:tr w:rsidR="00887978" w:rsidTr="0007205A">
        <w:tc>
          <w:tcPr>
            <w:tcW w:w="1638" w:type="dxa"/>
          </w:tcPr>
          <w:p w:rsidR="00887978" w:rsidRDefault="009C5101" w:rsidP="009C51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income</w:t>
            </w:r>
          </w:p>
        </w:tc>
        <w:tc>
          <w:tcPr>
            <w:tcW w:w="1620" w:type="dxa"/>
            <w:gridSpan w:val="3"/>
          </w:tcPr>
          <w:p w:rsidR="00887978" w:rsidRDefault="009C5101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101">
              <w:rPr>
                <w:rFonts w:ascii="Arial" w:hAnsi="Arial" w:cs="Arial"/>
                <w:sz w:val="20"/>
                <w:szCs w:val="20"/>
              </w:rPr>
              <w:t>6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9C5101">
              <w:rPr>
                <w:rFonts w:ascii="Arial" w:hAnsi="Arial" w:cs="Arial"/>
                <w:sz w:val="20"/>
                <w:szCs w:val="20"/>
              </w:rPr>
              <w:t>568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9C5101">
              <w:rPr>
                <w:rFonts w:ascii="Arial" w:hAnsi="Arial" w:cs="Arial"/>
                <w:sz w:val="20"/>
                <w:szCs w:val="20"/>
              </w:rPr>
              <w:t>648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9C5101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620" w:type="dxa"/>
            <w:gridSpan w:val="2"/>
          </w:tcPr>
          <w:p w:rsidR="00887978" w:rsidRDefault="00E103D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416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911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4698" w:type="dxa"/>
            <w:gridSpan w:val="2"/>
          </w:tcPr>
          <w:p w:rsidR="00887978" w:rsidRDefault="009C5101" w:rsidP="00E1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101">
              <w:rPr>
                <w:rFonts w:ascii="Arial" w:hAnsi="Arial" w:cs="Arial"/>
                <w:sz w:val="20"/>
                <w:szCs w:val="20"/>
              </w:rPr>
              <w:t xml:space="preserve">Increasing by 13% because after auditing, recording the delayed interest </w:t>
            </w:r>
            <w:r w:rsidR="00E103D4">
              <w:rPr>
                <w:rFonts w:ascii="Arial" w:hAnsi="Arial" w:cs="Arial"/>
                <w:sz w:val="20"/>
                <w:szCs w:val="20"/>
              </w:rPr>
              <w:t>to pay</w:t>
            </w:r>
            <w:r w:rsidRPr="009C5101">
              <w:rPr>
                <w:rFonts w:ascii="Arial" w:hAnsi="Arial" w:cs="Arial"/>
                <w:sz w:val="20"/>
                <w:szCs w:val="20"/>
              </w:rPr>
              <w:t xml:space="preserve"> to assoc</w:t>
            </w:r>
            <w:r w:rsidR="00E103D4">
              <w:rPr>
                <w:rFonts w:ascii="Arial" w:hAnsi="Arial" w:cs="Arial"/>
                <w:sz w:val="20"/>
                <w:szCs w:val="20"/>
              </w:rPr>
              <w:t>iated company -</w:t>
            </w:r>
            <w:r w:rsidRPr="009C51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03D4">
              <w:rPr>
                <w:rFonts w:ascii="Arial" w:hAnsi="Arial" w:cs="Arial"/>
                <w:sz w:val="20"/>
                <w:szCs w:val="20"/>
              </w:rPr>
              <w:t>T</w:t>
            </w:r>
            <w:r w:rsidRPr="009C5101">
              <w:rPr>
                <w:rFonts w:ascii="Arial" w:hAnsi="Arial" w:cs="Arial"/>
                <w:sz w:val="20"/>
                <w:szCs w:val="20"/>
              </w:rPr>
              <w:t>ay</w:t>
            </w:r>
            <w:proofErr w:type="spellEnd"/>
            <w:r w:rsidRPr="009C5101">
              <w:rPr>
                <w:rFonts w:ascii="Arial" w:hAnsi="Arial" w:cs="Arial"/>
                <w:sz w:val="20"/>
                <w:szCs w:val="20"/>
              </w:rPr>
              <w:t xml:space="preserve"> Nguyen Agricultural Products Company Limited</w:t>
            </w:r>
            <w:r w:rsidR="00E103D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C5101">
              <w:rPr>
                <w:rFonts w:ascii="Arial" w:hAnsi="Arial" w:cs="Arial"/>
                <w:sz w:val="20"/>
                <w:szCs w:val="20"/>
              </w:rPr>
              <w:t xml:space="preserve"> VND</w:t>
            </w:r>
            <w:r w:rsidRPr="009C5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101">
              <w:rPr>
                <w:rFonts w:ascii="Arial" w:hAnsi="Arial" w:cs="Arial"/>
                <w:sz w:val="20"/>
                <w:szCs w:val="20"/>
              </w:rPr>
              <w:t>814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9C5101">
              <w:rPr>
                <w:rFonts w:ascii="Arial" w:hAnsi="Arial" w:cs="Arial"/>
                <w:sz w:val="20"/>
                <w:szCs w:val="20"/>
              </w:rPr>
              <w:t>242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9C5101">
              <w:rPr>
                <w:rFonts w:ascii="Arial" w:hAnsi="Arial" w:cs="Arial"/>
                <w:sz w:val="20"/>
                <w:szCs w:val="20"/>
              </w:rPr>
              <w:t xml:space="preserve">754 </w:t>
            </w:r>
          </w:p>
        </w:tc>
      </w:tr>
      <w:tr w:rsidR="00887978" w:rsidTr="0007205A">
        <w:tc>
          <w:tcPr>
            <w:tcW w:w="1638" w:type="dxa"/>
          </w:tcPr>
          <w:p w:rsidR="00887978" w:rsidRDefault="009C5101" w:rsidP="009C51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101">
              <w:rPr>
                <w:rFonts w:ascii="Arial" w:hAnsi="Arial" w:cs="Arial"/>
                <w:sz w:val="20"/>
                <w:szCs w:val="20"/>
              </w:rPr>
              <w:t>Profit or loss portion</w:t>
            </w:r>
            <w:r w:rsidR="00E103D4">
              <w:rPr>
                <w:rFonts w:ascii="Arial" w:hAnsi="Arial" w:cs="Arial"/>
                <w:sz w:val="20"/>
                <w:szCs w:val="20"/>
              </w:rPr>
              <w:t xml:space="preserve"> in the joint-venture, associated company</w:t>
            </w:r>
            <w:r w:rsidRPr="009C510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gridSpan w:val="3"/>
          </w:tcPr>
          <w:p w:rsidR="00887978" w:rsidRDefault="00E103D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211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328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620" w:type="dxa"/>
            <w:gridSpan w:val="2"/>
          </w:tcPr>
          <w:p w:rsidR="00887978" w:rsidRDefault="00E103D4" w:rsidP="00E1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182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4698" w:type="dxa"/>
            <w:gridSpan w:val="2"/>
          </w:tcPr>
          <w:p w:rsidR="00887978" w:rsidRDefault="00E103D4" w:rsidP="00F111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13% due to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unaudited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 xml:space="preserve"> profit after tax of </w:t>
            </w:r>
            <w:proofErr w:type="spellStart"/>
            <w:r w:rsidR="009C5101" w:rsidRPr="009C5101">
              <w:rPr>
                <w:rFonts w:ascii="Arial" w:hAnsi="Arial" w:cs="Arial"/>
                <w:sz w:val="20"/>
                <w:szCs w:val="20"/>
              </w:rPr>
              <w:t>Tay</w:t>
            </w:r>
            <w:proofErr w:type="spellEnd"/>
            <w:r w:rsidR="009C5101" w:rsidRPr="009C5101">
              <w:rPr>
                <w:rFonts w:ascii="Arial" w:hAnsi="Arial" w:cs="Arial"/>
                <w:sz w:val="20"/>
                <w:szCs w:val="20"/>
              </w:rPr>
              <w:t xml:space="preserve"> Nguyen Agricultural Products </w:t>
            </w:r>
            <w:r>
              <w:rPr>
                <w:rFonts w:ascii="Arial" w:hAnsi="Arial" w:cs="Arial"/>
                <w:sz w:val="20"/>
                <w:szCs w:val="20"/>
              </w:rPr>
              <w:t xml:space="preserve">of VND 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640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 xml:space="preserve">991 </w:t>
            </w:r>
            <w:r>
              <w:rPr>
                <w:rFonts w:ascii="Arial" w:hAnsi="Arial" w:cs="Arial"/>
                <w:sz w:val="20"/>
                <w:szCs w:val="20"/>
              </w:rPr>
              <w:t>(after the audit: VND 9,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290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910</w:t>
            </w:r>
            <w:r>
              <w:rPr>
                <w:rFonts w:ascii="Arial" w:hAnsi="Arial" w:cs="Arial"/>
                <w:sz w:val="20"/>
                <w:szCs w:val="20"/>
              </w:rPr>
              <w:t>,374), a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 xml:space="preserve"> difference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VND 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815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9C5101">
              <w:rPr>
                <w:rFonts w:ascii="Arial" w:hAnsi="Arial" w:cs="Arial"/>
                <w:sz w:val="20"/>
                <w:szCs w:val="20"/>
              </w:rPr>
              <w:t>730</w:t>
            </w:r>
            <w:r>
              <w:rPr>
                <w:rFonts w:ascii="Arial" w:hAnsi="Arial" w:cs="Arial"/>
                <w:sz w:val="20"/>
                <w:szCs w:val="20"/>
              </w:rPr>
              <w:t xml:space="preserve">,617, equivalent to </w:t>
            </w:r>
            <w:r w:rsidR="009C5101" w:rsidRPr="00887978">
              <w:rPr>
                <w:rFonts w:ascii="Arial" w:hAnsi="Arial" w:cs="Arial"/>
                <w:sz w:val="20"/>
                <w:szCs w:val="20"/>
              </w:rPr>
              <w:t>20% ​​</w:t>
            </w:r>
            <w:r w:rsidR="00F111F3">
              <w:rPr>
                <w:rFonts w:ascii="Arial" w:hAnsi="Arial" w:cs="Arial"/>
                <w:sz w:val="20"/>
                <w:szCs w:val="20"/>
              </w:rPr>
              <w:t>(VND</w:t>
            </w:r>
            <w:r w:rsidR="009C5101" w:rsidRPr="00887978">
              <w:rPr>
                <w:rFonts w:ascii="Arial" w:hAnsi="Arial" w:cs="Arial"/>
                <w:sz w:val="20"/>
                <w:szCs w:val="20"/>
              </w:rPr>
              <w:t xml:space="preserve"> 163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887978">
              <w:rPr>
                <w:rFonts w:ascii="Arial" w:hAnsi="Arial" w:cs="Arial"/>
                <w:sz w:val="20"/>
                <w:szCs w:val="20"/>
              </w:rPr>
              <w:t>146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C5101" w:rsidRPr="00887978">
              <w:rPr>
                <w:rFonts w:ascii="Arial" w:hAnsi="Arial" w:cs="Arial"/>
                <w:sz w:val="20"/>
                <w:szCs w:val="20"/>
              </w:rPr>
              <w:t>123</w:t>
            </w:r>
            <w:r w:rsidR="00F111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87978" w:rsidTr="0007205A">
        <w:tc>
          <w:tcPr>
            <w:tcW w:w="1638" w:type="dxa"/>
          </w:tcPr>
          <w:p w:rsidR="00887978" w:rsidRDefault="00615D54" w:rsidP="00615D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 xml:space="preserve">Administrative expenses </w:t>
            </w:r>
          </w:p>
        </w:tc>
        <w:tc>
          <w:tcPr>
            <w:tcW w:w="1620" w:type="dxa"/>
            <w:gridSpan w:val="3"/>
          </w:tcPr>
          <w:p w:rsidR="00887978" w:rsidRDefault="00615D5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>20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058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087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069</w:t>
            </w:r>
          </w:p>
        </w:tc>
        <w:tc>
          <w:tcPr>
            <w:tcW w:w="1620" w:type="dxa"/>
            <w:gridSpan w:val="2"/>
          </w:tcPr>
          <w:p w:rsidR="00887978" w:rsidRDefault="00615D5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>27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649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510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4698" w:type="dxa"/>
            <w:gridSpan w:val="2"/>
          </w:tcPr>
          <w:p w:rsidR="00887978" w:rsidRDefault="00615D54" w:rsidP="00ED66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>Increase</w:t>
            </w:r>
            <w:r w:rsidR="00ED66EA">
              <w:rPr>
                <w:rFonts w:ascii="Arial" w:hAnsi="Arial" w:cs="Arial"/>
                <w:sz w:val="20"/>
                <w:szCs w:val="20"/>
              </w:rPr>
              <w:t>d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by 38%</w:t>
            </w:r>
            <w:r w:rsidR="00ED66EA">
              <w:rPr>
                <w:rFonts w:ascii="Arial" w:hAnsi="Arial" w:cs="Arial"/>
                <w:sz w:val="20"/>
                <w:szCs w:val="20"/>
              </w:rPr>
              <w:t xml:space="preserve"> as the parent company increased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the cost of corporate wages after auditing </w:t>
            </w:r>
            <w:r w:rsidR="00ED66EA">
              <w:rPr>
                <w:rFonts w:ascii="Arial" w:hAnsi="Arial" w:cs="Arial"/>
                <w:sz w:val="20"/>
                <w:szCs w:val="20"/>
              </w:rPr>
              <w:t xml:space="preserve">by VND </w:t>
            </w:r>
            <w:r w:rsidRPr="00887978">
              <w:rPr>
                <w:rFonts w:ascii="Arial" w:hAnsi="Arial" w:cs="Arial"/>
                <w:sz w:val="20"/>
                <w:szCs w:val="20"/>
              </w:rPr>
              <w:t>4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986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473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534;  </w:t>
            </w:r>
            <w:proofErr w:type="spellStart"/>
            <w:r w:rsidRPr="00887978">
              <w:rPr>
                <w:rFonts w:ascii="Arial" w:hAnsi="Arial" w:cs="Arial"/>
                <w:sz w:val="20"/>
                <w:szCs w:val="20"/>
              </w:rPr>
              <w:t>Kha</w:t>
            </w:r>
            <w:r w:rsidR="00ED66EA"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 w:rsidR="00ED66EA">
              <w:rPr>
                <w:rFonts w:ascii="Arial" w:hAnsi="Arial" w:cs="Arial"/>
                <w:sz w:val="20"/>
                <w:szCs w:val="20"/>
              </w:rPr>
              <w:t xml:space="preserve"> Duong Company wrongly recorded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the cost of right to implement projects</w:t>
            </w:r>
            <w:r w:rsidR="00ED66EA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6EA">
              <w:rPr>
                <w:rFonts w:ascii="Arial" w:hAnsi="Arial" w:cs="Arial"/>
                <w:sz w:val="20"/>
                <w:szCs w:val="20"/>
              </w:rPr>
              <w:t xml:space="preserve">VND </w:t>
            </w:r>
            <w:r w:rsidRPr="00887978">
              <w:rPr>
                <w:rFonts w:ascii="Arial" w:hAnsi="Arial" w:cs="Arial"/>
                <w:sz w:val="20"/>
                <w:szCs w:val="20"/>
              </w:rPr>
              <w:t>1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401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="00ED66EA">
              <w:rPr>
                <w:rFonts w:ascii="Arial" w:hAnsi="Arial" w:cs="Arial"/>
                <w:sz w:val="20"/>
                <w:szCs w:val="20"/>
              </w:rPr>
              <w:t>752,057 into c</w:t>
            </w:r>
            <w:r w:rsidRPr="00887978">
              <w:rPr>
                <w:rFonts w:ascii="Arial" w:hAnsi="Arial" w:cs="Arial"/>
                <w:sz w:val="20"/>
                <w:szCs w:val="20"/>
              </w:rPr>
              <w:t>ost of goods sold</w:t>
            </w:r>
            <w:r w:rsidR="00ED66EA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after auditing</w:t>
            </w:r>
            <w:r w:rsidR="00ED66EA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adjusted into corporate management costs and accounted for additional bonuses </w:t>
            </w:r>
            <w:r w:rsidR="00ED66E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ED66EA" w:rsidRPr="00887978">
              <w:rPr>
                <w:rFonts w:ascii="Arial" w:hAnsi="Arial" w:cs="Arial"/>
                <w:sz w:val="20"/>
                <w:szCs w:val="20"/>
              </w:rPr>
              <w:t>VND</w:t>
            </w:r>
            <w:r w:rsidR="00ED66EA" w:rsidRPr="00887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978">
              <w:rPr>
                <w:rFonts w:ascii="Arial" w:hAnsi="Arial" w:cs="Arial"/>
                <w:sz w:val="20"/>
                <w:szCs w:val="20"/>
              </w:rPr>
              <w:t>378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000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887978" w:rsidTr="0007205A">
        <w:tc>
          <w:tcPr>
            <w:tcW w:w="1638" w:type="dxa"/>
          </w:tcPr>
          <w:p w:rsidR="00887978" w:rsidRDefault="00615D54" w:rsidP="00615D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 xml:space="preserve">Other income  </w:t>
            </w:r>
          </w:p>
        </w:tc>
        <w:tc>
          <w:tcPr>
            <w:tcW w:w="1620" w:type="dxa"/>
            <w:gridSpan w:val="3"/>
          </w:tcPr>
          <w:p w:rsidR="00887978" w:rsidRDefault="00615D5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>1</w:t>
            </w:r>
            <w:r w:rsidR="00ED66EA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913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="0007205A">
              <w:rPr>
                <w:rFonts w:ascii="Arial" w:hAnsi="Arial" w:cs="Arial"/>
                <w:sz w:val="20"/>
                <w:szCs w:val="20"/>
              </w:rPr>
              <w:t>812,</w:t>
            </w:r>
            <w:r w:rsidRPr="00887978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620" w:type="dxa"/>
            <w:gridSpan w:val="2"/>
          </w:tcPr>
          <w:p w:rsidR="00887978" w:rsidRDefault="0007205A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615D54" w:rsidRPr="00887978">
              <w:rPr>
                <w:rFonts w:ascii="Arial" w:hAnsi="Arial" w:cs="Arial"/>
                <w:sz w:val="20"/>
                <w:szCs w:val="20"/>
              </w:rPr>
              <w:t>650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="00615D54" w:rsidRPr="00887978">
              <w:rPr>
                <w:rFonts w:ascii="Arial" w:hAnsi="Arial" w:cs="Arial"/>
                <w:sz w:val="20"/>
                <w:szCs w:val="20"/>
              </w:rPr>
              <w:t>250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="00615D54" w:rsidRPr="00887978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4698" w:type="dxa"/>
            <w:gridSpan w:val="2"/>
          </w:tcPr>
          <w:p w:rsidR="00887978" w:rsidRDefault="00615D54" w:rsidP="00072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>Decreased</w:t>
            </w:r>
            <w:r w:rsidR="0007205A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14% due to clearing profit and loss of </w:t>
            </w:r>
            <w:r w:rsidR="0007205A">
              <w:rPr>
                <w:rFonts w:ascii="Arial" w:hAnsi="Arial" w:cs="Arial"/>
                <w:sz w:val="20"/>
                <w:szCs w:val="20"/>
              </w:rPr>
              <w:t xml:space="preserve">liquidation of 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fixed assets of </w:t>
            </w:r>
            <w:proofErr w:type="spellStart"/>
            <w:r w:rsidRPr="00887978">
              <w:rPr>
                <w:rFonts w:ascii="Arial" w:hAnsi="Arial" w:cs="Arial"/>
                <w:sz w:val="20"/>
                <w:szCs w:val="20"/>
              </w:rPr>
              <w:t>Sepon</w:t>
            </w:r>
            <w:proofErr w:type="spellEnd"/>
            <w:r w:rsidRPr="00887978">
              <w:rPr>
                <w:rFonts w:ascii="Arial" w:hAnsi="Arial" w:cs="Arial"/>
                <w:sz w:val="20"/>
                <w:szCs w:val="20"/>
              </w:rPr>
              <w:t xml:space="preserve"> Tapioca </w:t>
            </w:r>
            <w:r w:rsidRPr="00887978">
              <w:rPr>
                <w:rFonts w:ascii="Arial" w:hAnsi="Arial" w:cs="Arial"/>
                <w:sz w:val="20"/>
                <w:szCs w:val="20"/>
              </w:rPr>
              <w:lastRenderedPageBreak/>
              <w:t>Limited Company</w:t>
            </w:r>
            <w:r w:rsidR="0007205A">
              <w:rPr>
                <w:rFonts w:ascii="Arial" w:hAnsi="Arial" w:cs="Arial"/>
                <w:sz w:val="20"/>
                <w:szCs w:val="20"/>
              </w:rPr>
              <w:t>: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05A">
              <w:rPr>
                <w:rFonts w:ascii="Arial" w:hAnsi="Arial" w:cs="Arial"/>
                <w:sz w:val="20"/>
                <w:szCs w:val="20"/>
              </w:rPr>
              <w:t xml:space="preserve">VND </w:t>
            </w:r>
            <w:r w:rsidRPr="00887978">
              <w:rPr>
                <w:rFonts w:ascii="Arial" w:hAnsi="Arial" w:cs="Arial"/>
                <w:sz w:val="20"/>
                <w:szCs w:val="20"/>
              </w:rPr>
              <w:t>263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561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892 </w:t>
            </w:r>
          </w:p>
        </w:tc>
      </w:tr>
      <w:tr w:rsidR="00887978" w:rsidTr="0007205A">
        <w:tc>
          <w:tcPr>
            <w:tcW w:w="1638" w:type="dxa"/>
          </w:tcPr>
          <w:p w:rsidR="00887978" w:rsidRDefault="00615D54" w:rsidP="00615D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lastRenderedPageBreak/>
              <w:t xml:space="preserve">Other expenses </w:t>
            </w:r>
          </w:p>
        </w:tc>
        <w:tc>
          <w:tcPr>
            <w:tcW w:w="1620" w:type="dxa"/>
            <w:gridSpan w:val="3"/>
          </w:tcPr>
          <w:p w:rsidR="00887978" w:rsidRDefault="0007205A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615D54" w:rsidRPr="0088797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="00615D54" w:rsidRPr="00887978">
              <w:rPr>
                <w:rFonts w:ascii="Arial" w:hAnsi="Arial" w:cs="Arial"/>
                <w:sz w:val="20"/>
                <w:szCs w:val="20"/>
              </w:rPr>
              <w:t>217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="00615D54" w:rsidRPr="0088797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20" w:type="dxa"/>
            <w:gridSpan w:val="2"/>
          </w:tcPr>
          <w:p w:rsidR="00887978" w:rsidRDefault="0007205A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1,564,</w:t>
            </w:r>
            <w:r w:rsidR="00615D54">
              <w:rPr>
                <w:rFonts w:ascii="Arial" w:hAnsi="Arial" w:cs="Arial"/>
                <w:sz w:val="20"/>
                <w:szCs w:val="20"/>
              </w:rPr>
              <w:t>375</w:t>
            </w:r>
            <w:r w:rsidR="00E103D4">
              <w:rPr>
                <w:rFonts w:ascii="Arial" w:hAnsi="Arial" w:cs="Arial"/>
                <w:sz w:val="20"/>
                <w:szCs w:val="20"/>
              </w:rPr>
              <w:t>,</w:t>
            </w:r>
            <w:r w:rsidR="00615D54">
              <w:rPr>
                <w:rFonts w:ascii="Arial" w:hAnsi="Arial" w:cs="Arial"/>
                <w:sz w:val="20"/>
                <w:szCs w:val="20"/>
              </w:rPr>
              <w:t xml:space="preserve">666 </w:t>
            </w:r>
          </w:p>
        </w:tc>
        <w:tc>
          <w:tcPr>
            <w:tcW w:w="4698" w:type="dxa"/>
            <w:gridSpan w:val="2"/>
          </w:tcPr>
          <w:p w:rsidR="00887978" w:rsidRDefault="00615D54" w:rsidP="00072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978">
              <w:rPr>
                <w:rFonts w:ascii="Arial" w:hAnsi="Arial" w:cs="Arial"/>
                <w:sz w:val="20"/>
                <w:szCs w:val="20"/>
              </w:rPr>
              <w:t>Discount</w:t>
            </w:r>
            <w:r w:rsidR="0007205A">
              <w:rPr>
                <w:rFonts w:ascii="Arial" w:hAnsi="Arial" w:cs="Arial"/>
                <w:sz w:val="20"/>
                <w:szCs w:val="20"/>
              </w:rPr>
              <w:t>ing by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14% due to clearing the liquidation of fixed assets of </w:t>
            </w:r>
            <w:proofErr w:type="spellStart"/>
            <w:r w:rsidRPr="00887978">
              <w:rPr>
                <w:rFonts w:ascii="Arial" w:hAnsi="Arial" w:cs="Arial"/>
                <w:sz w:val="20"/>
                <w:szCs w:val="20"/>
              </w:rPr>
              <w:t>Sepon</w:t>
            </w:r>
            <w:proofErr w:type="spellEnd"/>
            <w:r w:rsidRPr="00887978">
              <w:rPr>
                <w:rFonts w:ascii="Arial" w:hAnsi="Arial" w:cs="Arial"/>
                <w:sz w:val="20"/>
                <w:szCs w:val="20"/>
              </w:rPr>
              <w:t xml:space="preserve"> Tapioca </w:t>
            </w:r>
            <w:r w:rsidR="0007205A">
              <w:rPr>
                <w:rFonts w:ascii="Arial" w:hAnsi="Arial" w:cs="Arial"/>
                <w:sz w:val="20"/>
                <w:szCs w:val="20"/>
              </w:rPr>
              <w:t>Company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Limited</w:t>
            </w:r>
            <w:r w:rsidR="0007205A">
              <w:rPr>
                <w:rFonts w:ascii="Arial" w:hAnsi="Arial" w:cs="Arial"/>
                <w:sz w:val="20"/>
                <w:szCs w:val="20"/>
              </w:rPr>
              <w:t>: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05A" w:rsidRPr="00887978">
              <w:rPr>
                <w:rFonts w:ascii="Arial" w:hAnsi="Arial" w:cs="Arial"/>
                <w:sz w:val="20"/>
                <w:szCs w:val="20"/>
              </w:rPr>
              <w:t>VND</w:t>
            </w:r>
            <w:r w:rsidR="0007205A" w:rsidRPr="00887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978">
              <w:rPr>
                <w:rFonts w:ascii="Arial" w:hAnsi="Arial" w:cs="Arial"/>
                <w:sz w:val="20"/>
                <w:szCs w:val="20"/>
              </w:rPr>
              <w:t>263</w:t>
            </w:r>
            <w:r w:rsidR="0007205A">
              <w:rPr>
                <w:rFonts w:ascii="Arial" w:hAnsi="Arial" w:cs="Arial"/>
                <w:sz w:val="20"/>
                <w:szCs w:val="20"/>
              </w:rPr>
              <w:t>,</w:t>
            </w:r>
            <w:r w:rsidRPr="00887978">
              <w:rPr>
                <w:rFonts w:ascii="Arial" w:hAnsi="Arial" w:cs="Arial"/>
                <w:sz w:val="20"/>
                <w:szCs w:val="20"/>
              </w:rPr>
              <w:t>56</w:t>
            </w:r>
            <w:r w:rsidR="0007205A">
              <w:rPr>
                <w:rFonts w:ascii="Arial" w:hAnsi="Arial" w:cs="Arial"/>
                <w:sz w:val="20"/>
                <w:szCs w:val="20"/>
              </w:rPr>
              <w:t>1,</w:t>
            </w:r>
            <w:r w:rsidRPr="00887978">
              <w:rPr>
                <w:rFonts w:ascii="Arial" w:hAnsi="Arial" w:cs="Arial"/>
                <w:sz w:val="20"/>
                <w:szCs w:val="20"/>
              </w:rPr>
              <w:t xml:space="preserve">892 </w:t>
            </w:r>
          </w:p>
        </w:tc>
      </w:tr>
      <w:tr w:rsidR="00887978" w:rsidTr="0007205A">
        <w:tc>
          <w:tcPr>
            <w:tcW w:w="1638" w:type="dxa"/>
          </w:tcPr>
          <w:p w:rsidR="00887978" w:rsidRDefault="00E103D4" w:rsidP="00E1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615D54" w:rsidRPr="00615D54">
              <w:rPr>
                <w:rFonts w:ascii="Arial" w:hAnsi="Arial" w:cs="Arial"/>
                <w:sz w:val="20"/>
                <w:szCs w:val="20"/>
              </w:rPr>
              <w:t>corporate income tax expense</w:t>
            </w:r>
          </w:p>
        </w:tc>
        <w:tc>
          <w:tcPr>
            <w:tcW w:w="1620" w:type="dxa"/>
            <w:gridSpan w:val="3"/>
          </w:tcPr>
          <w:p w:rsidR="00887978" w:rsidRDefault="00E103D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54">
              <w:rPr>
                <w:rFonts w:ascii="Arial" w:hAnsi="Arial" w:cs="Arial"/>
                <w:sz w:val="20"/>
                <w:szCs w:val="20"/>
              </w:rPr>
              <w:t>224</w:t>
            </w:r>
            <w:r w:rsidR="0007205A">
              <w:rPr>
                <w:rFonts w:ascii="Arial" w:hAnsi="Arial" w:cs="Arial"/>
                <w:sz w:val="20"/>
                <w:szCs w:val="20"/>
              </w:rPr>
              <w:t>,</w:t>
            </w:r>
            <w:r w:rsidRPr="00615D54">
              <w:rPr>
                <w:rFonts w:ascii="Arial" w:hAnsi="Arial" w:cs="Arial"/>
                <w:sz w:val="20"/>
                <w:szCs w:val="20"/>
              </w:rPr>
              <w:t>546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5D54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1620" w:type="dxa"/>
            <w:gridSpan w:val="2"/>
          </w:tcPr>
          <w:p w:rsidR="00887978" w:rsidRDefault="00E103D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5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5D54">
              <w:rPr>
                <w:rFonts w:ascii="Arial" w:hAnsi="Arial" w:cs="Arial"/>
                <w:sz w:val="20"/>
                <w:szCs w:val="20"/>
              </w:rPr>
              <w:t>380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5D54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4698" w:type="dxa"/>
            <w:gridSpan w:val="2"/>
          </w:tcPr>
          <w:p w:rsidR="00887978" w:rsidRDefault="00E103D4" w:rsidP="00072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54">
              <w:rPr>
                <w:rFonts w:ascii="Arial" w:hAnsi="Arial" w:cs="Arial"/>
                <w:sz w:val="20"/>
                <w:szCs w:val="20"/>
              </w:rPr>
              <w:t xml:space="preserve">Reduction of 10% due to the re-determination of </w:t>
            </w:r>
            <w:r w:rsidR="0007205A" w:rsidRPr="00615D54">
              <w:rPr>
                <w:rFonts w:ascii="Arial" w:hAnsi="Arial" w:cs="Arial"/>
                <w:sz w:val="20"/>
                <w:szCs w:val="20"/>
              </w:rPr>
              <w:t>payable</w:t>
            </w:r>
            <w:r w:rsidR="0007205A" w:rsidRPr="00615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05A">
              <w:rPr>
                <w:rFonts w:ascii="Arial" w:hAnsi="Arial" w:cs="Arial"/>
                <w:sz w:val="20"/>
                <w:szCs w:val="20"/>
              </w:rPr>
              <w:t xml:space="preserve">corporate income tax expenses, </w:t>
            </w:r>
            <w:proofErr w:type="spellStart"/>
            <w:r w:rsidRPr="00615D54">
              <w:rPr>
                <w:rFonts w:ascii="Arial" w:hAnsi="Arial" w:cs="Arial"/>
                <w:sz w:val="20"/>
                <w:szCs w:val="20"/>
              </w:rPr>
              <w:t>Dak</w:t>
            </w:r>
            <w:proofErr w:type="spellEnd"/>
            <w:r w:rsidRPr="00615D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5D54">
              <w:rPr>
                <w:rFonts w:ascii="Arial" w:hAnsi="Arial" w:cs="Arial"/>
                <w:sz w:val="20"/>
                <w:szCs w:val="20"/>
              </w:rPr>
              <w:t>Nong</w:t>
            </w:r>
            <w:proofErr w:type="spellEnd"/>
            <w:r w:rsidRPr="00615D54">
              <w:rPr>
                <w:rFonts w:ascii="Arial" w:hAnsi="Arial" w:cs="Arial"/>
                <w:sz w:val="20"/>
                <w:szCs w:val="20"/>
              </w:rPr>
              <w:t xml:space="preserve"> Tapioca</w:t>
            </w:r>
            <w:bookmarkStart w:id="0" w:name="_GoBack"/>
            <w:bookmarkEnd w:id="0"/>
            <w:r w:rsidRPr="00615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05A">
              <w:rPr>
                <w:rFonts w:ascii="Arial" w:hAnsi="Arial" w:cs="Arial"/>
                <w:sz w:val="20"/>
                <w:szCs w:val="20"/>
              </w:rPr>
              <w:t>Company Limited after auditing decreased by VND</w:t>
            </w:r>
            <w:r w:rsidRPr="00615D54">
              <w:rPr>
                <w:rFonts w:ascii="Arial" w:hAnsi="Arial" w:cs="Arial"/>
                <w:sz w:val="20"/>
                <w:szCs w:val="20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5D54">
              <w:rPr>
                <w:rFonts w:ascii="Arial" w:hAnsi="Arial" w:cs="Arial"/>
                <w:sz w:val="20"/>
                <w:szCs w:val="20"/>
              </w:rPr>
              <w:t>165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7205A">
              <w:rPr>
                <w:rFonts w:ascii="Arial" w:hAnsi="Arial" w:cs="Arial"/>
                <w:sz w:val="20"/>
                <w:szCs w:val="20"/>
              </w:rPr>
              <w:t>83</w:t>
            </w:r>
            <w:r w:rsidRPr="00615D54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</w:tr>
      <w:tr w:rsidR="00887978" w:rsidTr="0007205A">
        <w:tc>
          <w:tcPr>
            <w:tcW w:w="1638" w:type="dxa"/>
          </w:tcPr>
          <w:p w:rsidR="00887978" w:rsidRDefault="00E103D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620" w:type="dxa"/>
            <w:gridSpan w:val="3"/>
          </w:tcPr>
          <w:p w:rsidR="00887978" w:rsidRDefault="00E103D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54">
              <w:rPr>
                <w:rFonts w:ascii="Arial" w:hAnsi="Arial" w:cs="Arial"/>
                <w:sz w:val="20"/>
                <w:szCs w:val="20"/>
              </w:rPr>
              <w:t>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5D54">
              <w:rPr>
                <w:rFonts w:ascii="Arial" w:hAnsi="Arial" w:cs="Arial"/>
                <w:sz w:val="20"/>
                <w:szCs w:val="20"/>
              </w:rPr>
              <w:t>499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5D54">
              <w:rPr>
                <w:rFonts w:ascii="Arial" w:hAnsi="Arial" w:cs="Arial"/>
                <w:sz w:val="20"/>
                <w:szCs w:val="20"/>
              </w:rPr>
              <w:t>912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5D54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1620" w:type="dxa"/>
            <w:gridSpan w:val="2"/>
          </w:tcPr>
          <w:p w:rsidR="00887978" w:rsidRDefault="00E103D4" w:rsidP="003B25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54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5D54">
              <w:rPr>
                <w:rFonts w:ascii="Arial" w:hAnsi="Arial" w:cs="Arial"/>
                <w:sz w:val="20"/>
                <w:szCs w:val="20"/>
              </w:rPr>
              <w:t>702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5D54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5D54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4698" w:type="dxa"/>
            <w:gridSpan w:val="2"/>
          </w:tcPr>
          <w:p w:rsidR="00887978" w:rsidRDefault="00E103D4" w:rsidP="00072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D54">
              <w:rPr>
                <w:rFonts w:ascii="Arial" w:hAnsi="Arial" w:cs="Arial"/>
                <w:sz w:val="20"/>
                <w:szCs w:val="20"/>
              </w:rPr>
              <w:t xml:space="preserve">6% off due to the impact of the above </w:t>
            </w:r>
            <w:r w:rsidR="0007205A">
              <w:rPr>
                <w:rFonts w:ascii="Arial" w:hAnsi="Arial" w:cs="Arial"/>
                <w:sz w:val="20"/>
                <w:szCs w:val="20"/>
              </w:rPr>
              <w:t>expenditure</w:t>
            </w:r>
          </w:p>
        </w:tc>
      </w:tr>
    </w:tbl>
    <w:p w:rsidR="00887978" w:rsidRDefault="00887978" w:rsidP="00615D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8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7205A"/>
    <w:rsid w:val="000A79D8"/>
    <w:rsid w:val="00125C9D"/>
    <w:rsid w:val="001654BA"/>
    <w:rsid w:val="0026711C"/>
    <w:rsid w:val="00303E63"/>
    <w:rsid w:val="00330005"/>
    <w:rsid w:val="003A771E"/>
    <w:rsid w:val="003B2570"/>
    <w:rsid w:val="00467BC0"/>
    <w:rsid w:val="00496733"/>
    <w:rsid w:val="005B0276"/>
    <w:rsid w:val="005E7D00"/>
    <w:rsid w:val="00615D54"/>
    <w:rsid w:val="006E13A2"/>
    <w:rsid w:val="00701F46"/>
    <w:rsid w:val="007028B7"/>
    <w:rsid w:val="00745D9A"/>
    <w:rsid w:val="008078B6"/>
    <w:rsid w:val="0088081B"/>
    <w:rsid w:val="00887978"/>
    <w:rsid w:val="00887C3A"/>
    <w:rsid w:val="009C5101"/>
    <w:rsid w:val="00A62855"/>
    <w:rsid w:val="00A81EB3"/>
    <w:rsid w:val="00AA01BA"/>
    <w:rsid w:val="00AB75BF"/>
    <w:rsid w:val="00AF67BE"/>
    <w:rsid w:val="00C72FFB"/>
    <w:rsid w:val="00CA6F06"/>
    <w:rsid w:val="00E103D4"/>
    <w:rsid w:val="00E36A48"/>
    <w:rsid w:val="00ED66EA"/>
    <w:rsid w:val="00F02E19"/>
    <w:rsid w:val="00F111F3"/>
    <w:rsid w:val="00F163FC"/>
    <w:rsid w:val="00F655B9"/>
    <w:rsid w:val="00F8515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42</cp:revision>
  <dcterms:created xsi:type="dcterms:W3CDTF">2019-10-16T10:03:00Z</dcterms:created>
  <dcterms:modified xsi:type="dcterms:W3CDTF">2020-04-01T04:49:00Z</dcterms:modified>
</cp:coreProperties>
</file>